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2D07" w14:textId="4F4E8C76" w:rsidR="006E54DC" w:rsidRPr="0088387F" w:rsidRDefault="00856FC2" w:rsidP="0088387F">
      <w:pPr>
        <w:spacing w:after="0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35D538" wp14:editId="7C9A464D">
            <wp:simplePos x="0" y="0"/>
            <wp:positionH relativeFrom="column">
              <wp:posOffset>4015050</wp:posOffset>
            </wp:positionH>
            <wp:positionV relativeFrom="paragraph">
              <wp:posOffset>95416</wp:posOffset>
            </wp:positionV>
            <wp:extent cx="1478915" cy="1478915"/>
            <wp:effectExtent l="0" t="0" r="6985" b="6985"/>
            <wp:wrapNone/>
            <wp:docPr id="488076960" name="Picture 1" descr="A person wearing glasses and a beige shi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076960" name="Picture 1" descr="A person wearing glasses and a beige shir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Tenielle Davis</w:t>
      </w:r>
    </w:p>
    <w:p w14:paraId="7A8A7236" w14:textId="248DEF11" w:rsidR="002A1581" w:rsidRDefault="00856FC2" w:rsidP="0088387F">
      <w:pPr>
        <w:spacing w:after="0"/>
        <w:rPr>
          <w:sz w:val="36"/>
          <w:szCs w:val="36"/>
        </w:rPr>
      </w:pPr>
      <w:r>
        <w:rPr>
          <w:sz w:val="36"/>
          <w:szCs w:val="36"/>
        </w:rPr>
        <w:t>Senior Manager</w:t>
      </w:r>
    </w:p>
    <w:p w14:paraId="788AB31A" w14:textId="39687CA3" w:rsidR="0088387F" w:rsidRPr="0088387F" w:rsidRDefault="0088387F" w:rsidP="0088387F">
      <w:pPr>
        <w:spacing w:after="0"/>
        <w:rPr>
          <w:sz w:val="36"/>
          <w:szCs w:val="36"/>
        </w:rPr>
      </w:pPr>
    </w:p>
    <w:p w14:paraId="7D63572C" w14:textId="2A023360" w:rsidR="0088387F" w:rsidRDefault="00E0755A" w:rsidP="006D7F3B">
      <w:pPr>
        <w:spacing w:after="0"/>
      </w:pPr>
      <w:r>
        <w:t>M</w:t>
      </w:r>
      <w:r w:rsidR="0088387F">
        <w:t>:</w:t>
      </w:r>
      <w:r w:rsidR="0088387F">
        <w:tab/>
        <w:t>04</w:t>
      </w:r>
      <w:r w:rsidR="00B0392C">
        <w:t>00 633 651</w:t>
      </w:r>
    </w:p>
    <w:p w14:paraId="2B3DA80C" w14:textId="6EBCCD6D" w:rsidR="00862DDF" w:rsidRDefault="0088387F" w:rsidP="006E54DC">
      <w:r>
        <w:t xml:space="preserve">E: </w:t>
      </w:r>
      <w:r>
        <w:tab/>
      </w:r>
      <w:hyperlink r:id="rId12" w:history="1">
        <w:r w:rsidR="00B0392C" w:rsidRPr="00015B22">
          <w:rPr>
            <w:rStyle w:val="Hyperlink"/>
          </w:rPr>
          <w:t>tdavis@procaregroup.com.au</w:t>
        </w:r>
      </w:hyperlink>
    </w:p>
    <w:p w14:paraId="31A61B52" w14:textId="77777777" w:rsidR="0070188D" w:rsidRDefault="0070188D" w:rsidP="00B0392C">
      <w:pPr>
        <w:spacing w:after="120"/>
        <w:textAlignment w:val="baseline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065A112" w14:textId="77777777" w:rsidR="0070188D" w:rsidRDefault="0070188D" w:rsidP="00B0392C">
      <w:pPr>
        <w:spacing w:after="120"/>
        <w:textAlignment w:val="baseline"/>
        <w:rPr>
          <w:rFonts w:ascii="Calibri" w:eastAsia="Times New Roman" w:hAnsi="Calibri" w:cs="Calibri"/>
          <w:sz w:val="20"/>
          <w:szCs w:val="20"/>
        </w:rPr>
      </w:pPr>
    </w:p>
    <w:p w14:paraId="67706755" w14:textId="4C72EFC8" w:rsidR="00862DDF" w:rsidRDefault="00B0392C" w:rsidP="00B0392C">
      <w:pPr>
        <w:spacing w:after="120"/>
        <w:textAlignment w:val="baseline"/>
        <w:rPr>
          <w:rFonts w:ascii="Calibri" w:eastAsia="Times New Roman" w:hAnsi="Calibri" w:cs="Calibri"/>
          <w:sz w:val="20"/>
          <w:szCs w:val="20"/>
          <w:lang w:val="en-US"/>
        </w:rPr>
      </w:pPr>
      <w:r>
        <w:rPr>
          <w:rFonts w:ascii="Calibri" w:eastAsia="Times New Roman" w:hAnsi="Calibri" w:cs="Calibri"/>
          <w:sz w:val="20"/>
          <w:szCs w:val="20"/>
          <w:lang w:val="en-US"/>
        </w:rPr>
        <w:t xml:space="preserve">Tenielle </w:t>
      </w:r>
      <w:r w:rsidR="00862DDF" w:rsidRPr="00624D33">
        <w:rPr>
          <w:rFonts w:ascii="Calibri" w:eastAsia="Times New Roman" w:hAnsi="Calibri" w:cs="Calibri"/>
          <w:sz w:val="20"/>
          <w:szCs w:val="20"/>
          <w:lang w:val="en-US"/>
        </w:rPr>
        <w:t>has assisted on, or led, a wide range of matters as expert witness</w:t>
      </w:r>
      <w:r w:rsidR="00B562EB">
        <w:rPr>
          <w:rFonts w:ascii="Calibri" w:eastAsia="Times New Roman" w:hAnsi="Calibri" w:cs="Calibri"/>
          <w:sz w:val="20"/>
          <w:szCs w:val="20"/>
          <w:lang w:val="en-US"/>
        </w:rPr>
        <w:t xml:space="preserve">. Her </w:t>
      </w:r>
      <w:r w:rsidR="00862DDF" w:rsidRPr="00624D33">
        <w:rPr>
          <w:rFonts w:ascii="Calibri" w:eastAsia="Times New Roman" w:hAnsi="Calibri" w:cs="Calibri"/>
          <w:sz w:val="20"/>
          <w:szCs w:val="20"/>
          <w:lang w:val="en-US"/>
        </w:rPr>
        <w:t xml:space="preserve">forensic accounting experience includes </w:t>
      </w:r>
      <w:r w:rsidR="00B562EB">
        <w:rPr>
          <w:rFonts w:ascii="Calibri" w:eastAsia="Times New Roman" w:hAnsi="Calibri" w:cs="Calibri"/>
          <w:sz w:val="20"/>
          <w:szCs w:val="20"/>
          <w:lang w:val="en-US"/>
        </w:rPr>
        <w:t xml:space="preserve">personal injury </w:t>
      </w:r>
      <w:r w:rsidR="006F258F">
        <w:rPr>
          <w:rFonts w:ascii="Calibri" w:eastAsia="Times New Roman" w:hAnsi="Calibri" w:cs="Calibri"/>
          <w:sz w:val="20"/>
          <w:szCs w:val="20"/>
          <w:lang w:val="en-US"/>
        </w:rPr>
        <w:t xml:space="preserve">economic loss claims, </w:t>
      </w:r>
      <w:r w:rsidR="00862DDF" w:rsidRPr="00624D33">
        <w:rPr>
          <w:rFonts w:ascii="Calibri" w:eastAsia="Times New Roman" w:hAnsi="Calibri" w:cs="Calibri"/>
          <w:sz w:val="20"/>
          <w:szCs w:val="20"/>
          <w:lang w:val="en-US"/>
        </w:rPr>
        <w:t>commercial disputes, breach of contract, business interruption</w:t>
      </w:r>
      <w:r w:rsidR="006F258F">
        <w:rPr>
          <w:rFonts w:ascii="Calibri" w:eastAsia="Times New Roman" w:hAnsi="Calibri" w:cs="Calibri"/>
          <w:sz w:val="20"/>
          <w:szCs w:val="20"/>
          <w:lang w:val="en-US"/>
        </w:rPr>
        <w:t xml:space="preserve"> and </w:t>
      </w:r>
      <w:r w:rsidR="00862DDF" w:rsidRPr="00624D33">
        <w:rPr>
          <w:rFonts w:ascii="Calibri" w:eastAsia="Times New Roman" w:hAnsi="Calibri" w:cs="Calibri"/>
          <w:sz w:val="20"/>
          <w:szCs w:val="20"/>
          <w:lang w:val="en-US"/>
        </w:rPr>
        <w:t xml:space="preserve">financial investigations. </w:t>
      </w:r>
      <w:r w:rsidR="000A7FB1">
        <w:rPr>
          <w:rFonts w:ascii="Calibri" w:eastAsia="Times New Roman" w:hAnsi="Calibri" w:cs="Calibri"/>
          <w:sz w:val="20"/>
          <w:szCs w:val="20"/>
          <w:lang w:val="en-US"/>
        </w:rPr>
        <w:t xml:space="preserve">Tenielle has </w:t>
      </w:r>
      <w:r w:rsidR="008C1BDC">
        <w:rPr>
          <w:rFonts w:ascii="Calibri" w:eastAsia="Times New Roman" w:hAnsi="Calibri" w:cs="Calibri"/>
          <w:sz w:val="20"/>
          <w:szCs w:val="20"/>
          <w:lang w:val="en-US"/>
        </w:rPr>
        <w:t xml:space="preserve">been involved in a wide variety of business </w:t>
      </w:r>
      <w:r w:rsidR="00354C7A">
        <w:rPr>
          <w:rFonts w:ascii="Calibri" w:eastAsia="Times New Roman" w:hAnsi="Calibri" w:cs="Calibri"/>
          <w:sz w:val="20"/>
          <w:szCs w:val="20"/>
          <w:lang w:val="en-US"/>
        </w:rPr>
        <w:t xml:space="preserve">services, </w:t>
      </w:r>
      <w:r w:rsidR="008C1BDC">
        <w:rPr>
          <w:rFonts w:ascii="Calibri" w:eastAsia="Times New Roman" w:hAnsi="Calibri" w:cs="Calibri"/>
          <w:sz w:val="20"/>
          <w:szCs w:val="20"/>
          <w:lang w:val="en-US"/>
        </w:rPr>
        <w:t>tax</w:t>
      </w:r>
      <w:r w:rsidR="00010AE1">
        <w:rPr>
          <w:rFonts w:ascii="Calibri" w:eastAsia="Times New Roman" w:hAnsi="Calibri" w:cs="Calibri"/>
          <w:sz w:val="20"/>
          <w:szCs w:val="20"/>
          <w:lang w:val="en-US"/>
        </w:rPr>
        <w:t>ation</w:t>
      </w:r>
      <w:r w:rsidR="008C1BDC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 w:rsidR="00354C7A">
        <w:rPr>
          <w:rFonts w:ascii="Calibri" w:eastAsia="Times New Roman" w:hAnsi="Calibri" w:cs="Calibri"/>
          <w:sz w:val="20"/>
          <w:szCs w:val="20"/>
          <w:lang w:val="en-US"/>
        </w:rPr>
        <w:t xml:space="preserve">and audit </w:t>
      </w:r>
      <w:r w:rsidR="008C1BDC">
        <w:rPr>
          <w:rFonts w:ascii="Calibri" w:eastAsia="Times New Roman" w:hAnsi="Calibri" w:cs="Calibri"/>
          <w:sz w:val="20"/>
          <w:szCs w:val="20"/>
          <w:lang w:val="en-US"/>
        </w:rPr>
        <w:t>engagements</w:t>
      </w:r>
      <w:r w:rsidR="00354C7A">
        <w:rPr>
          <w:rFonts w:ascii="Calibri" w:eastAsia="Times New Roman" w:hAnsi="Calibri" w:cs="Calibri"/>
          <w:sz w:val="20"/>
          <w:szCs w:val="20"/>
          <w:lang w:val="en-US"/>
        </w:rPr>
        <w:t xml:space="preserve">, including leading </w:t>
      </w:r>
      <w:r w:rsidR="008C1BDC">
        <w:rPr>
          <w:rFonts w:ascii="Calibri" w:eastAsia="Times New Roman" w:hAnsi="Calibri" w:cs="Calibri"/>
          <w:sz w:val="20"/>
          <w:szCs w:val="20"/>
          <w:lang w:val="en-US"/>
        </w:rPr>
        <w:t xml:space="preserve">audit </w:t>
      </w:r>
      <w:r w:rsidR="004D3494">
        <w:rPr>
          <w:rFonts w:ascii="Calibri" w:eastAsia="Times New Roman" w:hAnsi="Calibri" w:cs="Calibri"/>
          <w:sz w:val="20"/>
          <w:szCs w:val="20"/>
          <w:lang w:val="en-US"/>
        </w:rPr>
        <w:t xml:space="preserve">engagements </w:t>
      </w:r>
      <w:r w:rsidR="00354C7A">
        <w:rPr>
          <w:rFonts w:ascii="Calibri" w:eastAsia="Times New Roman" w:hAnsi="Calibri" w:cs="Calibri"/>
          <w:sz w:val="20"/>
          <w:szCs w:val="20"/>
          <w:lang w:val="en-US"/>
        </w:rPr>
        <w:t xml:space="preserve">ranging </w:t>
      </w:r>
      <w:r w:rsidR="00604642">
        <w:rPr>
          <w:rFonts w:ascii="Calibri" w:eastAsia="Times New Roman" w:hAnsi="Calibri" w:cs="Calibri"/>
          <w:sz w:val="20"/>
          <w:szCs w:val="20"/>
          <w:lang w:val="en-US"/>
        </w:rPr>
        <w:t>from small trust audits to large</w:t>
      </w:r>
      <w:r w:rsidR="00BF2ABE">
        <w:rPr>
          <w:rFonts w:ascii="Calibri" w:eastAsia="Times New Roman" w:hAnsi="Calibri" w:cs="Calibri"/>
          <w:sz w:val="20"/>
          <w:szCs w:val="20"/>
          <w:lang w:val="en-US"/>
        </w:rPr>
        <w:t xml:space="preserve"> entity</w:t>
      </w:r>
      <w:r w:rsidR="00604642">
        <w:rPr>
          <w:rFonts w:ascii="Calibri" w:eastAsia="Times New Roman" w:hAnsi="Calibri" w:cs="Calibri"/>
          <w:sz w:val="20"/>
          <w:szCs w:val="20"/>
          <w:lang w:val="en-US"/>
        </w:rPr>
        <w:t xml:space="preserve"> consolidated group audits</w:t>
      </w:r>
      <w:r w:rsidR="00BF2ABE">
        <w:rPr>
          <w:rFonts w:ascii="Calibri" w:eastAsia="Times New Roman" w:hAnsi="Calibri" w:cs="Calibri"/>
          <w:sz w:val="20"/>
          <w:szCs w:val="20"/>
          <w:lang w:val="en-US"/>
        </w:rPr>
        <w:t xml:space="preserve">, and extending to self-managed </w:t>
      </w:r>
      <w:r w:rsidR="00D32734">
        <w:rPr>
          <w:rFonts w:ascii="Calibri" w:eastAsia="Times New Roman" w:hAnsi="Calibri" w:cs="Calibri"/>
          <w:sz w:val="20"/>
          <w:szCs w:val="20"/>
          <w:lang w:val="en-US"/>
        </w:rPr>
        <w:t xml:space="preserve">superannuation </w:t>
      </w:r>
      <w:r w:rsidR="00BF2ABE">
        <w:rPr>
          <w:rFonts w:ascii="Calibri" w:eastAsia="Times New Roman" w:hAnsi="Calibri" w:cs="Calibri"/>
          <w:sz w:val="20"/>
          <w:szCs w:val="20"/>
          <w:lang w:val="en-US"/>
        </w:rPr>
        <w:t>fund audits</w:t>
      </w:r>
      <w:r w:rsidR="008C1BDC">
        <w:rPr>
          <w:rFonts w:ascii="Calibri" w:eastAsia="Times New Roman" w:hAnsi="Calibri" w:cs="Calibri"/>
          <w:sz w:val="20"/>
          <w:szCs w:val="20"/>
          <w:lang w:val="en-US"/>
        </w:rPr>
        <w:t xml:space="preserve">. </w:t>
      </w:r>
      <w:r w:rsidR="00862DDF" w:rsidRPr="00624D33">
        <w:rPr>
          <w:rFonts w:ascii="Calibri" w:eastAsia="Times New Roman" w:hAnsi="Calibri" w:cs="Calibri"/>
          <w:sz w:val="20"/>
          <w:szCs w:val="20"/>
          <w:lang w:val="en-US"/>
        </w:rPr>
        <w:t xml:space="preserve">As </w:t>
      </w:r>
      <w:r w:rsidR="00192863">
        <w:rPr>
          <w:rFonts w:ascii="Calibri" w:eastAsia="Times New Roman" w:hAnsi="Calibri" w:cs="Calibri"/>
          <w:sz w:val="20"/>
          <w:szCs w:val="20"/>
          <w:lang w:val="en-US"/>
        </w:rPr>
        <w:t xml:space="preserve">an </w:t>
      </w:r>
      <w:r w:rsidR="00862DDF" w:rsidRPr="00624D33">
        <w:rPr>
          <w:rFonts w:ascii="Calibri" w:eastAsia="Times New Roman" w:hAnsi="Calibri" w:cs="Calibri"/>
          <w:sz w:val="20"/>
          <w:szCs w:val="20"/>
          <w:lang w:val="en-US"/>
        </w:rPr>
        <w:t xml:space="preserve">independent expert, </w:t>
      </w:r>
      <w:r w:rsidR="00192863">
        <w:rPr>
          <w:rFonts w:ascii="Calibri" w:eastAsia="Times New Roman" w:hAnsi="Calibri" w:cs="Calibri"/>
          <w:sz w:val="20"/>
          <w:szCs w:val="20"/>
          <w:lang w:val="en-US"/>
        </w:rPr>
        <w:t>s</w:t>
      </w:r>
      <w:r w:rsidR="00862DDF" w:rsidRPr="00624D33">
        <w:rPr>
          <w:rFonts w:ascii="Calibri" w:eastAsia="Times New Roman" w:hAnsi="Calibri" w:cs="Calibri"/>
          <w:sz w:val="20"/>
          <w:szCs w:val="20"/>
          <w:lang w:val="en-US"/>
        </w:rPr>
        <w:t xml:space="preserve">he </w:t>
      </w:r>
      <w:r w:rsidR="00192863">
        <w:rPr>
          <w:rFonts w:ascii="Calibri" w:eastAsia="Times New Roman" w:hAnsi="Calibri" w:cs="Calibri"/>
          <w:sz w:val="20"/>
          <w:szCs w:val="20"/>
          <w:lang w:val="en-US"/>
        </w:rPr>
        <w:t>is experienced in dispute resolution, preparation of expert reports and economic loss modelling</w:t>
      </w:r>
      <w:r w:rsidR="00354C7A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r w:rsidR="002F700A">
        <w:rPr>
          <w:rFonts w:ascii="Calibri" w:eastAsia="Times New Roman" w:hAnsi="Calibri" w:cs="Calibri"/>
          <w:sz w:val="20"/>
          <w:szCs w:val="20"/>
          <w:lang w:val="en-US"/>
        </w:rPr>
        <w:t xml:space="preserve">including </w:t>
      </w:r>
      <w:r w:rsidR="00D77BDC">
        <w:rPr>
          <w:rFonts w:ascii="Calibri" w:eastAsia="Times New Roman" w:hAnsi="Calibri" w:cs="Calibri"/>
          <w:sz w:val="20"/>
          <w:szCs w:val="20"/>
          <w:lang w:val="en-US"/>
        </w:rPr>
        <w:t xml:space="preserve">extensive experience in </w:t>
      </w:r>
      <w:r w:rsidR="002F700A">
        <w:rPr>
          <w:rFonts w:ascii="Calibri" w:eastAsia="Times New Roman" w:hAnsi="Calibri" w:cs="Calibri"/>
          <w:sz w:val="20"/>
          <w:szCs w:val="20"/>
          <w:lang w:val="en-US"/>
        </w:rPr>
        <w:t xml:space="preserve">personal injury </w:t>
      </w:r>
      <w:r w:rsidR="00354C7A">
        <w:rPr>
          <w:rFonts w:ascii="Calibri" w:eastAsia="Times New Roman" w:hAnsi="Calibri" w:cs="Calibri"/>
          <w:sz w:val="20"/>
          <w:szCs w:val="20"/>
          <w:lang w:val="en-US"/>
        </w:rPr>
        <w:t xml:space="preserve">matters </w:t>
      </w:r>
      <w:r w:rsidR="002F700A">
        <w:rPr>
          <w:rFonts w:ascii="Calibri" w:eastAsia="Times New Roman" w:hAnsi="Calibri" w:cs="Calibri"/>
          <w:sz w:val="20"/>
          <w:szCs w:val="20"/>
          <w:lang w:val="en-US"/>
        </w:rPr>
        <w:t xml:space="preserve">involving asbestos related </w:t>
      </w:r>
      <w:r w:rsidR="008426BA">
        <w:rPr>
          <w:rFonts w:ascii="Calibri" w:eastAsia="Times New Roman" w:hAnsi="Calibri" w:cs="Calibri"/>
          <w:sz w:val="20"/>
          <w:szCs w:val="20"/>
          <w:lang w:val="en-US"/>
        </w:rPr>
        <w:t>claims</w:t>
      </w:r>
      <w:r w:rsidR="00EE6366">
        <w:rPr>
          <w:rFonts w:ascii="Calibri" w:eastAsia="Times New Roman" w:hAnsi="Calibri" w:cs="Calibri"/>
          <w:sz w:val="20"/>
          <w:szCs w:val="20"/>
          <w:lang w:val="en-US"/>
        </w:rPr>
        <w:t xml:space="preserve"> (claims against Amaca</w:t>
      </w:r>
      <w:r w:rsidR="00010AE1">
        <w:rPr>
          <w:rFonts w:ascii="Calibri" w:eastAsia="Times New Roman" w:hAnsi="Calibri" w:cs="Calibri"/>
          <w:sz w:val="20"/>
          <w:szCs w:val="20"/>
          <w:lang w:val="en-US"/>
        </w:rPr>
        <w:t>/insurer</w:t>
      </w:r>
      <w:r w:rsidR="00EE6366">
        <w:rPr>
          <w:rFonts w:ascii="Calibri" w:eastAsia="Times New Roman" w:hAnsi="Calibri" w:cs="Calibri"/>
          <w:sz w:val="20"/>
          <w:szCs w:val="20"/>
          <w:lang w:val="en-US"/>
        </w:rPr>
        <w:t>)</w:t>
      </w:r>
      <w:r w:rsidR="008426BA">
        <w:rPr>
          <w:rFonts w:ascii="Calibri" w:eastAsia="Times New Roman" w:hAnsi="Calibri" w:cs="Calibri"/>
          <w:sz w:val="20"/>
          <w:szCs w:val="20"/>
          <w:lang w:val="en-US"/>
        </w:rPr>
        <w:t>, motor accidents, catastrophic loss, medical negligence and historical abuse cases</w:t>
      </w:r>
      <w:r w:rsidR="00862DDF" w:rsidRPr="00624D33">
        <w:rPr>
          <w:rFonts w:ascii="Calibri" w:eastAsia="Times New Roman" w:hAnsi="Calibri" w:cs="Calibri"/>
          <w:sz w:val="20"/>
          <w:szCs w:val="20"/>
          <w:lang w:val="en-US"/>
        </w:rPr>
        <w:t>.</w:t>
      </w:r>
    </w:p>
    <w:p w14:paraId="2F1BA7F6" w14:textId="77777777" w:rsidR="006F7CDE" w:rsidRPr="00624D33" w:rsidRDefault="006F7CDE" w:rsidP="00B0392C">
      <w:pPr>
        <w:spacing w:after="120"/>
        <w:textAlignment w:val="baseline"/>
        <w:rPr>
          <w:rFonts w:ascii="Calibri" w:eastAsia="Times New Roman" w:hAnsi="Calibri" w:cs="Calibri"/>
          <w:sz w:val="20"/>
          <w:szCs w:val="20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946"/>
      </w:tblGrid>
      <w:tr w:rsidR="006E54DC" w:rsidRPr="0088744B" w14:paraId="1F673DC7" w14:textId="77777777" w:rsidTr="00E40D9F">
        <w:tc>
          <w:tcPr>
            <w:tcW w:w="1980" w:type="dxa"/>
            <w:tcBorders>
              <w:top w:val="single" w:sz="12" w:space="0" w:color="auto"/>
            </w:tcBorders>
          </w:tcPr>
          <w:p w14:paraId="7A5CC18F" w14:textId="2C5D50D2" w:rsidR="006E54DC" w:rsidRPr="0088744B" w:rsidRDefault="000061A0" w:rsidP="003219E8">
            <w:pPr>
              <w:spacing w:before="60" w:after="60" w:line="259" w:lineRule="auto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88744B"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</w:rPr>
              <w:t>Education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01BA01B7" w14:textId="488335B8" w:rsidR="00D71C99" w:rsidRPr="0088744B" w:rsidRDefault="007F792F" w:rsidP="003219E8">
            <w:pPr>
              <w:pStyle w:val="paragraph"/>
              <w:spacing w:before="60" w:beforeAutospacing="0" w:after="60" w:afterAutospacing="0" w:line="259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F792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M</w:t>
            </w:r>
            <w:proofErr w:type="spellStart"/>
            <w:r w:rsidRPr="007F792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ac</w:t>
            </w:r>
            <w:r w:rsidR="0054404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</w:t>
            </w:r>
            <w:r w:rsidRPr="007F792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uarie</w:t>
            </w:r>
            <w:proofErr w:type="spellEnd"/>
            <w:r w:rsidRPr="007F792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University</w:t>
            </w:r>
            <w:r w:rsidR="00D71C99" w:rsidRPr="0088744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 w:rsidR="00D71C99" w:rsidRPr="0088744B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Forensic Accounting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Specialisation</w:t>
            </w:r>
            <w:proofErr w:type="spellEnd"/>
          </w:p>
          <w:p w14:paraId="537A8C5A" w14:textId="0EA2BF86" w:rsidR="006E54DC" w:rsidRPr="0088744B" w:rsidRDefault="00D71C99" w:rsidP="009D2507">
            <w:pPr>
              <w:pStyle w:val="paragraph"/>
              <w:spacing w:before="60" w:beforeAutospacing="0" w:after="60" w:afterAutospacing="0" w:line="259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8744B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University of</w:t>
            </w:r>
            <w:r w:rsidR="00354C7A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W</w:t>
            </w:r>
            <w:r w:rsidR="00354C7A" w:rsidRPr="009D2507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ollongong</w:t>
            </w:r>
            <w:r w:rsidRPr="0088744B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E63A4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Bachelor </w:t>
            </w:r>
            <w:r w:rsidRPr="0088744B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of </w:t>
            </w:r>
            <w:r w:rsidRPr="009D2507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Commerce (</w:t>
            </w:r>
            <w:r w:rsidR="009D2507" w:rsidRPr="009D2507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proofErr w:type="spellStart"/>
            <w:r w:rsidR="009D2507" w:rsidRPr="009D250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ccountancy</w:t>
            </w:r>
            <w:proofErr w:type="spellEnd"/>
            <w:r w:rsidRPr="009D2507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</w:tr>
      <w:tr w:rsidR="00626BF0" w:rsidRPr="0088744B" w14:paraId="331DF94F" w14:textId="77777777" w:rsidTr="00516A14">
        <w:tc>
          <w:tcPr>
            <w:tcW w:w="1980" w:type="dxa"/>
          </w:tcPr>
          <w:p w14:paraId="33B73436" w14:textId="21406519" w:rsidR="00626BF0" w:rsidRPr="0088744B" w:rsidRDefault="00626BF0" w:rsidP="003219E8">
            <w:pPr>
              <w:spacing w:before="60" w:after="60" w:line="259" w:lineRule="auto"/>
              <w:rPr>
                <w:rStyle w:val="normaltextrun"/>
                <w:rFonts w:cstheme="minorHAnsi"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</w:pPr>
            <w:r w:rsidRPr="0088744B"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  <w:t>Memberships</w:t>
            </w:r>
          </w:p>
        </w:tc>
        <w:tc>
          <w:tcPr>
            <w:tcW w:w="6946" w:type="dxa"/>
          </w:tcPr>
          <w:p w14:paraId="165AC400" w14:textId="45F3D909" w:rsidR="00626BF0" w:rsidRPr="0088744B" w:rsidRDefault="000061A0" w:rsidP="003219E8">
            <w:pPr>
              <w:pStyle w:val="paragraph"/>
              <w:spacing w:before="60" w:beforeAutospacing="0" w:after="60" w:afterAutospacing="0" w:line="259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8744B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Chartered Accountants Australia and New Zealand</w:t>
            </w:r>
            <w:r w:rsidR="000D7193" w:rsidRPr="000D719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, Member</w:t>
            </w:r>
            <w:r w:rsidR="00726FCB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726FCB" w:rsidRPr="00D527DC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since </w:t>
            </w:r>
            <w:r w:rsidR="007F792F" w:rsidRPr="007F792F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7F792F" w:rsidRPr="007F792F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002</w:t>
            </w:r>
          </w:p>
        </w:tc>
      </w:tr>
      <w:tr w:rsidR="00CB1627" w:rsidRPr="0088744B" w14:paraId="1BB01B24" w14:textId="77777777" w:rsidTr="00516A14">
        <w:tc>
          <w:tcPr>
            <w:tcW w:w="1980" w:type="dxa"/>
          </w:tcPr>
          <w:p w14:paraId="7739F2A9" w14:textId="3711CDFB" w:rsidR="00CB1627" w:rsidRPr="0088744B" w:rsidRDefault="00CB1627" w:rsidP="003219E8">
            <w:pPr>
              <w:spacing w:before="60" w:after="60" w:line="259" w:lineRule="auto"/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</w:pPr>
            <w:r w:rsidRPr="0088744B"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  <w:t>Skills &amp; expertise</w:t>
            </w:r>
          </w:p>
        </w:tc>
        <w:tc>
          <w:tcPr>
            <w:tcW w:w="6946" w:type="dxa"/>
          </w:tcPr>
          <w:p w14:paraId="74C98C96" w14:textId="63327EB2" w:rsidR="00F32B2D" w:rsidRDefault="00804662" w:rsidP="003219E8">
            <w:pPr>
              <w:spacing w:before="60" w:after="60" w:line="259" w:lineRule="auto"/>
              <w:textAlignment w:val="baseline"/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8744B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Dispute and litigation support and </w:t>
            </w:r>
            <w: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financial investigations</w:t>
            </w:r>
          </w:p>
          <w:p w14:paraId="2A86BB43" w14:textId="1A451478" w:rsidR="008A405D" w:rsidRPr="00FE7ECD" w:rsidRDefault="00F32B2D" w:rsidP="003219E8">
            <w:pPr>
              <w:spacing w:before="60" w:after="60" w:line="259" w:lineRule="auto"/>
              <w:textAlignment w:val="baseline"/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  <w:r w:rsidRPr="00FE7ECD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Lead </w:t>
            </w:r>
            <w:r w:rsidR="0049685C" w:rsidRPr="00FE7ECD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auditor in</w:t>
            </w:r>
            <w:r w:rsidR="008A405D" w:rsidRPr="00FE7ECD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audit engagements </w:t>
            </w:r>
            <w:r w:rsidR="0049685C" w:rsidRPr="00FE7ECD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between 200</w:t>
            </w:r>
            <w:r w:rsidR="008F4349" w:rsidRPr="00FE7ECD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49685C" w:rsidRPr="00FE7ECD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to 2015</w:t>
            </w:r>
            <w:r w:rsidR="008F7532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="00C564EF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C564EF">
              <w:rPr>
                <w:rStyle w:val="normaltextrun"/>
                <w:color w:val="000000"/>
                <w:sz w:val="20"/>
                <w:szCs w:val="20"/>
              </w:rPr>
              <w:t xml:space="preserve">hile a </w:t>
            </w:r>
            <w:r w:rsidR="008F7532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Registered Company Auditor)</w:t>
            </w:r>
          </w:p>
          <w:p w14:paraId="051F453E" w14:textId="5F35CDC8" w:rsidR="00CB1627" w:rsidRPr="0088744B" w:rsidRDefault="0049685C" w:rsidP="00804662">
            <w:pPr>
              <w:spacing w:before="60" w:after="60" w:line="259" w:lineRule="auto"/>
              <w:textAlignment w:val="baseline"/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Self-managed </w:t>
            </w:r>
            <w:r w:rsidRPr="00A559CE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superannuation</w:t>
            </w:r>
            <w: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E7ECD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fund </w:t>
            </w:r>
            <w: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audit</w:t>
            </w:r>
            <w:r w:rsidR="00B5687E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 (</w:t>
            </w:r>
            <w:r w:rsidR="00C564EF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C564EF">
              <w:rPr>
                <w:rStyle w:val="normaltextrun"/>
                <w:color w:val="000000"/>
                <w:sz w:val="20"/>
                <w:szCs w:val="20"/>
              </w:rPr>
              <w:t xml:space="preserve">hile a </w:t>
            </w:r>
            <w:r w:rsidR="00A559CE" w:rsidRPr="00A559CE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registered </w:t>
            </w:r>
            <w:r w:rsidR="00A559CE" w:rsidRPr="00A559CE">
              <w:rPr>
                <w:rStyle w:val="normaltextrun"/>
                <w:color w:val="000000"/>
                <w:sz w:val="20"/>
                <w:szCs w:val="20"/>
              </w:rPr>
              <w:t>SMSF auditor)</w:t>
            </w:r>
          </w:p>
        </w:tc>
      </w:tr>
      <w:tr w:rsidR="00D63956" w:rsidRPr="0088744B" w14:paraId="38137F82" w14:textId="77777777" w:rsidTr="00516A14">
        <w:tc>
          <w:tcPr>
            <w:tcW w:w="1980" w:type="dxa"/>
          </w:tcPr>
          <w:p w14:paraId="7A8E1703" w14:textId="5E5564E4" w:rsidR="00D63956" w:rsidRPr="0088744B" w:rsidRDefault="00D63956" w:rsidP="003219E8">
            <w:pPr>
              <w:spacing w:before="60" w:after="60" w:line="259" w:lineRule="auto"/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</w:pPr>
            <w:r w:rsidRPr="0088744B"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  <w:t>Industry experience</w:t>
            </w:r>
          </w:p>
        </w:tc>
        <w:tc>
          <w:tcPr>
            <w:tcW w:w="6946" w:type="dxa"/>
          </w:tcPr>
          <w:p w14:paraId="3815D184" w14:textId="79596381" w:rsidR="00D63956" w:rsidRPr="0088744B" w:rsidRDefault="001F0C32" w:rsidP="003219E8">
            <w:pPr>
              <w:spacing w:before="60" w:after="60" w:line="259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Tenielle’s </w:t>
            </w:r>
            <w:r w:rsidR="00D63956" w:rsidRPr="0088744B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experience extends to industries and sectors including </w:t>
            </w:r>
            <w:proofErr w:type="spellStart"/>
            <w:r w:rsidR="00CB3D03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sme’s</w:t>
            </w:r>
            <w:proofErr w:type="spellEnd"/>
            <w:r w:rsidR="00D63956" w:rsidRPr="0088744B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, telecommunications, </w:t>
            </w:r>
            <w:r w:rsidR="00CB3D03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not for profit</w:t>
            </w:r>
            <w:r w:rsidR="00D63956" w:rsidRPr="000D0A9A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0D0A9A" w:rsidRPr="000D0A9A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trust </w:t>
            </w:r>
            <w:r w:rsidR="000D0A9A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accounting</w:t>
            </w:r>
            <w:r w:rsidR="000D0A9A" w:rsidRPr="000D0A9A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D63956" w:rsidRPr="0088744B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retail</w:t>
            </w:r>
            <w: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 medical</w:t>
            </w:r>
            <w:r w:rsidR="000D0A9A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/professional </w:t>
            </w:r>
            <w: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services, building and construction</w:t>
            </w:r>
            <w:r w:rsidR="00D63956" w:rsidRPr="0088744B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6E54DC" w:rsidRPr="0088744B" w14:paraId="144E3EB2" w14:textId="77777777" w:rsidTr="00516A14">
        <w:tc>
          <w:tcPr>
            <w:tcW w:w="1980" w:type="dxa"/>
          </w:tcPr>
          <w:p w14:paraId="56B9B00B" w14:textId="0B2DBD97" w:rsidR="006E54DC" w:rsidRPr="0088744B" w:rsidRDefault="00EB14D4" w:rsidP="003219E8">
            <w:pPr>
              <w:spacing w:before="60" w:after="60" w:line="259" w:lineRule="auto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  <w:t>Selected</w:t>
            </w:r>
            <w:r w:rsidR="001C10BB"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  <w:t xml:space="preserve"> e</w:t>
            </w:r>
            <w:r w:rsidR="00813792" w:rsidRPr="0088744B"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  <w:t xml:space="preserve">xamples of </w:t>
            </w:r>
            <w:r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  <w:t xml:space="preserve">recent </w:t>
            </w:r>
            <w:r w:rsidR="006A5DBE"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  <w:t xml:space="preserve">Dispute and litigation support </w:t>
            </w:r>
            <w:r w:rsidR="006E4E29" w:rsidRPr="0088744B"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  <w:t>e</w:t>
            </w:r>
            <w:r w:rsidR="00693838" w:rsidRPr="0088744B">
              <w:rPr>
                <w:rStyle w:val="normaltextrun"/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FFFFFF"/>
                <w:lang w:val="en-US"/>
              </w:rPr>
              <w:t>xperience</w:t>
            </w:r>
          </w:p>
        </w:tc>
        <w:tc>
          <w:tcPr>
            <w:tcW w:w="6946" w:type="dxa"/>
          </w:tcPr>
          <w:p w14:paraId="304B0F50" w14:textId="03F3DAE5" w:rsidR="007D27FB" w:rsidRPr="00267E4D" w:rsidRDefault="00391DDF" w:rsidP="00544044">
            <w:pPr>
              <w:pStyle w:val="ListParagraph"/>
              <w:numPr>
                <w:ilvl w:val="0"/>
                <w:numId w:val="8"/>
              </w:numPr>
              <w:spacing w:before="60" w:after="60" w:line="259" w:lineRule="auto"/>
              <w:ind w:left="183" w:hanging="177"/>
              <w:contextualSpacing w:val="0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8744B">
              <w:rPr>
                <w:rFonts w:eastAsia="Times New Roman" w:cstheme="minorHAnsi"/>
                <w:sz w:val="20"/>
                <w:szCs w:val="20"/>
              </w:rPr>
              <w:t>Prepar</w:t>
            </w:r>
            <w:r w:rsidR="00EA3551">
              <w:rPr>
                <w:rFonts w:eastAsia="Times New Roman" w:cstheme="minorHAnsi"/>
                <w:sz w:val="20"/>
                <w:szCs w:val="20"/>
              </w:rPr>
              <w:t>ation of</w:t>
            </w:r>
            <w:r w:rsidRPr="0088744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32CC" w:rsidRPr="00FE32CC">
              <w:rPr>
                <w:rFonts w:eastAsia="Times New Roman" w:cstheme="minorHAnsi"/>
                <w:sz w:val="20"/>
                <w:szCs w:val="20"/>
              </w:rPr>
              <w:t>o</w:t>
            </w:r>
            <w:r w:rsidR="00FE32CC" w:rsidRPr="00FE32CC">
              <w:rPr>
                <w:rFonts w:eastAsia="Times New Roman"/>
                <w:sz w:val="20"/>
                <w:szCs w:val="20"/>
              </w:rPr>
              <w:t xml:space="preserve">ver </w:t>
            </w:r>
            <w:r w:rsidR="004C0F20" w:rsidRPr="004C0F20">
              <w:rPr>
                <w:rFonts w:eastAsia="Times New Roman"/>
                <w:sz w:val="20"/>
                <w:szCs w:val="20"/>
              </w:rPr>
              <w:t>250</w:t>
            </w:r>
            <w:r w:rsidR="00FE32CC" w:rsidRPr="004C0F20">
              <w:rPr>
                <w:rFonts w:eastAsia="Times New Roman"/>
                <w:sz w:val="20"/>
                <w:szCs w:val="20"/>
              </w:rPr>
              <w:t xml:space="preserve"> </w:t>
            </w:r>
            <w:r w:rsidRPr="004C0F20">
              <w:rPr>
                <w:rFonts w:eastAsia="Times New Roman" w:cstheme="minorHAnsi"/>
                <w:sz w:val="20"/>
                <w:szCs w:val="20"/>
              </w:rPr>
              <w:t xml:space="preserve">expert </w:t>
            </w:r>
            <w:r w:rsidRPr="0088744B">
              <w:rPr>
                <w:rFonts w:eastAsia="Times New Roman" w:cstheme="minorHAnsi"/>
                <w:sz w:val="20"/>
                <w:szCs w:val="20"/>
              </w:rPr>
              <w:t>witness report</w:t>
            </w:r>
            <w:r w:rsidR="00FE32CC">
              <w:rPr>
                <w:rFonts w:eastAsia="Times New Roman" w:cstheme="minorHAnsi"/>
                <w:sz w:val="20"/>
                <w:szCs w:val="20"/>
              </w:rPr>
              <w:t>s</w:t>
            </w:r>
            <w:r w:rsidR="00EA3551">
              <w:rPr>
                <w:rFonts w:eastAsia="Times New Roman" w:cstheme="minorHAnsi"/>
                <w:sz w:val="20"/>
                <w:szCs w:val="20"/>
              </w:rPr>
              <w:t>, including past and future economic loss calculations</w:t>
            </w:r>
          </w:p>
          <w:p w14:paraId="3E84B62C" w14:textId="48029175" w:rsidR="00391DDF" w:rsidRPr="00FD2CC2" w:rsidRDefault="00F04641" w:rsidP="00391DDF">
            <w:pPr>
              <w:pStyle w:val="ListParagraph"/>
              <w:numPr>
                <w:ilvl w:val="0"/>
                <w:numId w:val="8"/>
              </w:numPr>
              <w:spacing w:before="60" w:after="60" w:line="259" w:lineRule="auto"/>
              <w:ind w:left="183" w:hanging="177"/>
              <w:contextualSpacing w:val="0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Preparation</w:t>
            </w:r>
            <w:r w:rsidR="00FC7C6C">
              <w:rPr>
                <w:rFonts w:eastAsia="Times New Roman" w:cstheme="minorHAnsi"/>
                <w:sz w:val="20"/>
                <w:szCs w:val="20"/>
              </w:rPr>
              <w:t>,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investigation and quantification of economic </w:t>
            </w:r>
            <w:r w:rsidRPr="00FC7C6C">
              <w:rPr>
                <w:rFonts w:eastAsia="Times New Roman" w:cstheme="minorHAnsi"/>
                <w:sz w:val="20"/>
                <w:szCs w:val="20"/>
              </w:rPr>
              <w:t xml:space="preserve">loss </w:t>
            </w:r>
            <w:r w:rsidR="00FC7C6C" w:rsidRPr="00FC7C6C">
              <w:rPr>
                <w:rFonts w:eastAsia="Times New Roman" w:cstheme="minorHAnsi"/>
                <w:sz w:val="20"/>
                <w:szCs w:val="20"/>
              </w:rPr>
              <w:t>c</w:t>
            </w:r>
            <w:r w:rsidR="00FC7C6C" w:rsidRPr="00FC7C6C">
              <w:rPr>
                <w:rFonts w:eastAsia="Times New Roman"/>
                <w:sz w:val="20"/>
                <w:szCs w:val="20"/>
              </w:rPr>
              <w:t xml:space="preserve">alculation and report </w:t>
            </w:r>
            <w:r w:rsidR="00622DC1" w:rsidRPr="00622DC1">
              <w:rPr>
                <w:rFonts w:eastAsia="Times New Roman" w:cstheme="minorHAnsi"/>
                <w:sz w:val="20"/>
                <w:szCs w:val="20"/>
              </w:rPr>
              <w:t>f</w:t>
            </w:r>
            <w:r w:rsidR="00622DC1" w:rsidRPr="00622DC1">
              <w:rPr>
                <w:rFonts w:eastAsia="Times New Roman"/>
                <w:sz w:val="20"/>
                <w:szCs w:val="20"/>
              </w:rPr>
              <w:t xml:space="preserve">or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housing provider arising from </w:t>
            </w:r>
            <w:r w:rsidR="00A46E4B">
              <w:rPr>
                <w:rFonts w:eastAsia="Times New Roman" w:cstheme="minorHAnsi"/>
                <w:sz w:val="20"/>
                <w:szCs w:val="20"/>
              </w:rPr>
              <w:t>defective building works</w:t>
            </w:r>
          </w:p>
          <w:p w14:paraId="114F7464" w14:textId="6296096E" w:rsidR="00FD2CC2" w:rsidRPr="0088744B" w:rsidRDefault="00FD2CC2" w:rsidP="00391DDF">
            <w:pPr>
              <w:pStyle w:val="ListParagraph"/>
              <w:numPr>
                <w:ilvl w:val="0"/>
                <w:numId w:val="8"/>
              </w:numPr>
              <w:spacing w:before="60" w:after="60" w:line="259" w:lineRule="auto"/>
              <w:ind w:left="183" w:hanging="177"/>
              <w:contextualSpacing w:val="0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Preparation of catastrophic loss </w:t>
            </w:r>
            <w:r w:rsidR="00E2619C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report and calculation </w:t>
            </w:r>
            <w:r w:rsidR="007A6CC5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for injured </w:t>
            </w:r>
            <w:r w:rsidR="00D52FDC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resulting from </w:t>
            </w:r>
            <w:r w:rsidR="00E2619C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the impact of </w:t>
            </w:r>
            <w:r w:rsidR="00D52FDC">
              <w:rPr>
                <w:rFonts w:eastAsia="Times New Roman" w:cstheme="minorHAnsi"/>
                <w:sz w:val="20"/>
                <w:szCs w:val="20"/>
                <w:lang w:val="en-US"/>
              </w:rPr>
              <w:t>breach of contract and medical negligence</w:t>
            </w:r>
          </w:p>
          <w:p w14:paraId="1F3B3F2E" w14:textId="77777777" w:rsidR="006E54DC" w:rsidRPr="0025164D" w:rsidRDefault="001952DF" w:rsidP="00FE32CC">
            <w:pPr>
              <w:pStyle w:val="ListParagraph"/>
              <w:numPr>
                <w:ilvl w:val="0"/>
                <w:numId w:val="8"/>
              </w:numPr>
              <w:spacing w:before="60" w:after="60" w:line="259" w:lineRule="auto"/>
              <w:ind w:left="183" w:hanging="177"/>
              <w:contextualSpacing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88744B">
              <w:rPr>
                <w:rFonts w:eastAsia="Times New Roman" w:cstheme="minorHAnsi"/>
                <w:sz w:val="20"/>
                <w:szCs w:val="20"/>
                <w:lang w:val="en-US"/>
              </w:rPr>
              <w:t>A</w:t>
            </w:r>
            <w:r w:rsidR="00A431E4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uthored </w:t>
            </w:r>
            <w:r w:rsidR="0033631F">
              <w:rPr>
                <w:rFonts w:eastAsia="Times New Roman" w:cstheme="minorHAnsi"/>
                <w:sz w:val="20"/>
                <w:szCs w:val="20"/>
                <w:lang w:val="en-US"/>
              </w:rPr>
              <w:t>c</w:t>
            </w:r>
            <w:r w:rsidR="0033631F" w:rsidRPr="00032073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onsulting </w:t>
            </w:r>
            <w:r w:rsidR="00032073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forensic accountant </w:t>
            </w:r>
            <w:r w:rsidR="00A431E4">
              <w:rPr>
                <w:rFonts w:eastAsia="Times New Roman" w:cstheme="minorHAnsi"/>
                <w:sz w:val="20"/>
                <w:szCs w:val="20"/>
                <w:lang w:val="en-US"/>
              </w:rPr>
              <w:t>report</w:t>
            </w:r>
            <w:r w:rsidR="00636FBD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 w:rsidR="00822F3B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for </w:t>
            </w:r>
            <w:r w:rsidR="00032073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majority </w:t>
            </w:r>
            <w:r w:rsidR="00032073" w:rsidRPr="00FF47A2">
              <w:rPr>
                <w:rFonts w:eastAsia="Times New Roman" w:cstheme="minorHAnsi"/>
                <w:sz w:val="20"/>
                <w:szCs w:val="20"/>
                <w:lang w:val="en-US"/>
              </w:rPr>
              <w:t>u</w:t>
            </w:r>
            <w:r w:rsidR="00032073" w:rsidRPr="00FF47A2">
              <w:rPr>
                <w:rFonts w:eastAsia="Times New Roman"/>
                <w:sz w:val="20"/>
                <w:szCs w:val="20"/>
                <w:lang w:val="en-US"/>
              </w:rPr>
              <w:t xml:space="preserve">nitholder </w:t>
            </w:r>
            <w:r w:rsidR="00032073">
              <w:rPr>
                <w:rFonts w:eastAsia="Times New Roman"/>
                <w:sz w:val="20"/>
                <w:szCs w:val="20"/>
                <w:lang w:val="en-US"/>
              </w:rPr>
              <w:t xml:space="preserve">in </w:t>
            </w:r>
            <w:r w:rsidR="0033631F" w:rsidRPr="00FF47A2">
              <w:rPr>
                <w:rFonts w:eastAsia="Times New Roman" w:cstheme="minorHAnsi"/>
                <w:sz w:val="20"/>
                <w:szCs w:val="20"/>
                <w:lang w:val="en-US"/>
              </w:rPr>
              <w:t>p</w:t>
            </w:r>
            <w:r w:rsidR="0033631F" w:rsidRPr="00FF47A2">
              <w:rPr>
                <w:rFonts w:eastAsia="Times New Roman"/>
                <w:sz w:val="20"/>
                <w:szCs w:val="20"/>
                <w:lang w:val="en-US"/>
              </w:rPr>
              <w:t>roperty syndicate</w:t>
            </w:r>
            <w:r w:rsidR="00A82B24">
              <w:rPr>
                <w:rFonts w:eastAsia="Times New Roman"/>
                <w:sz w:val="20"/>
                <w:szCs w:val="20"/>
                <w:lang w:val="en-US"/>
              </w:rPr>
              <w:t xml:space="preserve"> arising from </w:t>
            </w:r>
            <w:r w:rsidR="0033631F" w:rsidRPr="00FF47A2">
              <w:rPr>
                <w:rFonts w:eastAsia="Times New Roman" w:cstheme="minorHAnsi"/>
                <w:sz w:val="20"/>
                <w:szCs w:val="20"/>
                <w:lang w:val="en-US"/>
              </w:rPr>
              <w:t>d</w:t>
            </w:r>
            <w:r w:rsidR="0033631F" w:rsidRPr="00FF47A2">
              <w:rPr>
                <w:rFonts w:eastAsia="Times New Roman"/>
                <w:sz w:val="20"/>
                <w:szCs w:val="20"/>
                <w:lang w:val="en-US"/>
              </w:rPr>
              <w:t>isput</w:t>
            </w:r>
            <w:r w:rsidR="00A82B24">
              <w:rPr>
                <w:rFonts w:eastAsia="Times New Roman"/>
                <w:sz w:val="20"/>
                <w:szCs w:val="20"/>
                <w:lang w:val="en-US"/>
              </w:rPr>
              <w:t xml:space="preserve">e </w:t>
            </w:r>
            <w:r w:rsidR="008B4199">
              <w:rPr>
                <w:rFonts w:eastAsia="Times New Roman"/>
                <w:sz w:val="20"/>
                <w:szCs w:val="20"/>
                <w:lang w:val="en-US"/>
              </w:rPr>
              <w:t xml:space="preserve">over incorrect </w:t>
            </w:r>
            <w:r w:rsidR="0033631F" w:rsidRPr="00FF47A2">
              <w:rPr>
                <w:rFonts w:eastAsia="Times New Roman"/>
                <w:sz w:val="20"/>
                <w:szCs w:val="20"/>
                <w:lang w:val="en-US"/>
              </w:rPr>
              <w:t xml:space="preserve">accounting treatment </w:t>
            </w:r>
            <w:r w:rsidR="008B4199">
              <w:rPr>
                <w:rFonts w:eastAsia="Times New Roman"/>
                <w:sz w:val="20"/>
                <w:szCs w:val="20"/>
                <w:lang w:val="en-US"/>
              </w:rPr>
              <w:t xml:space="preserve">and failure of fiduciary duties pertaining to </w:t>
            </w:r>
            <w:r w:rsidR="002D51F6">
              <w:rPr>
                <w:rFonts w:eastAsia="Times New Roman"/>
                <w:sz w:val="20"/>
                <w:szCs w:val="20"/>
                <w:lang w:val="en-US"/>
              </w:rPr>
              <w:t xml:space="preserve">matters of </w:t>
            </w:r>
            <w:r w:rsidR="0033631F" w:rsidRPr="00FF47A2">
              <w:rPr>
                <w:rFonts w:eastAsia="Times New Roman"/>
                <w:sz w:val="20"/>
                <w:szCs w:val="20"/>
                <w:lang w:val="en-US"/>
              </w:rPr>
              <w:t>revenue and expense</w:t>
            </w:r>
          </w:p>
          <w:p w14:paraId="2CA36B0B" w14:textId="043F7C47" w:rsidR="0025164D" w:rsidRPr="0088744B" w:rsidRDefault="0025164D" w:rsidP="00FE32CC">
            <w:pPr>
              <w:pStyle w:val="ListParagraph"/>
              <w:numPr>
                <w:ilvl w:val="0"/>
                <w:numId w:val="8"/>
              </w:numPr>
              <w:spacing w:before="60" w:after="60" w:line="259" w:lineRule="auto"/>
              <w:ind w:left="183" w:hanging="177"/>
              <w:contextualSpacing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Designing historical abuse </w:t>
            </w:r>
            <w:r w:rsidR="00A10655">
              <w:rPr>
                <w:rFonts w:eastAsia="Times New Roman" w:cstheme="minorHAnsi"/>
                <w:sz w:val="20"/>
                <w:szCs w:val="20"/>
                <w:lang w:val="en-US"/>
              </w:rPr>
              <w:t>economic loss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 w:rsidR="00073D65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models. Significant experience in determination </w:t>
            </w:r>
            <w:r w:rsidR="00A10655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and/or critique of </w:t>
            </w:r>
            <w:r w:rsidR="00073D65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complex </w:t>
            </w:r>
            <w:r w:rsidR="007722DA">
              <w:rPr>
                <w:rFonts w:eastAsia="Times New Roman" w:cstheme="minorHAnsi"/>
                <w:sz w:val="20"/>
                <w:szCs w:val="20"/>
                <w:lang w:val="en-US"/>
              </w:rPr>
              <w:t>economic loss scenarios arising from institutional abuse claims</w:t>
            </w:r>
          </w:p>
        </w:tc>
      </w:tr>
    </w:tbl>
    <w:p w14:paraId="29B98AF8" w14:textId="77777777" w:rsidR="006E54DC" w:rsidRPr="006E54DC" w:rsidRDefault="006E54DC" w:rsidP="006E54DC"/>
    <w:sectPr w:rsidR="006E54DC" w:rsidRPr="006E54DC" w:rsidSect="00624D3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5FE5" w14:textId="77777777" w:rsidR="00A432A6" w:rsidRDefault="00A432A6" w:rsidP="002C71D8">
      <w:r>
        <w:separator/>
      </w:r>
    </w:p>
  </w:endnote>
  <w:endnote w:type="continuationSeparator" w:id="0">
    <w:p w14:paraId="54E620A8" w14:textId="77777777" w:rsidR="00A432A6" w:rsidRDefault="00A432A6" w:rsidP="002C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A3F5" w14:textId="57C67B9E" w:rsidR="009779CC" w:rsidRDefault="00000000">
    <w:pPr>
      <w:pStyle w:val="Footer"/>
      <w:jc w:val="right"/>
    </w:pPr>
    <w:sdt>
      <w:sdtPr>
        <w:id w:val="-14635743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779CC">
          <w:fldChar w:fldCharType="begin"/>
        </w:r>
        <w:r w:rsidR="009779CC">
          <w:instrText xml:space="preserve"> PAGE   \* MERGEFORMAT </w:instrText>
        </w:r>
        <w:r w:rsidR="009779CC">
          <w:fldChar w:fldCharType="separate"/>
        </w:r>
        <w:r w:rsidR="009779CC">
          <w:rPr>
            <w:noProof/>
          </w:rPr>
          <w:t>2</w:t>
        </w:r>
        <w:r w:rsidR="009779CC">
          <w:rPr>
            <w:noProof/>
          </w:rPr>
          <w:fldChar w:fldCharType="end"/>
        </w:r>
      </w:sdtContent>
    </w:sdt>
  </w:p>
  <w:p w14:paraId="6F382D92" w14:textId="77777777" w:rsidR="009779CC" w:rsidRDefault="00977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0174" w14:textId="77777777" w:rsidR="00A432A6" w:rsidRDefault="00A432A6" w:rsidP="002C71D8">
      <w:r>
        <w:separator/>
      </w:r>
    </w:p>
  </w:footnote>
  <w:footnote w:type="continuationSeparator" w:id="0">
    <w:p w14:paraId="149E073F" w14:textId="77777777" w:rsidR="00A432A6" w:rsidRDefault="00A432A6" w:rsidP="002C7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3E1E" w14:textId="6B96A79C" w:rsidR="00B64AC2" w:rsidRPr="00885A6D" w:rsidRDefault="00885A6D" w:rsidP="00885A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A8F0E7" wp14:editId="3E995D7B">
          <wp:simplePos x="0" y="0"/>
          <wp:positionH relativeFrom="margin">
            <wp:posOffset>4133850</wp:posOffset>
          </wp:positionH>
          <wp:positionV relativeFrom="topMargin">
            <wp:align>bottom</wp:align>
          </wp:positionV>
          <wp:extent cx="1605280" cy="640715"/>
          <wp:effectExtent l="0" t="0" r="0" b="6985"/>
          <wp:wrapSquare wrapText="bothSides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4AC2" w:rsidRPr="00885A6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288"/>
    <w:multiLevelType w:val="multilevel"/>
    <w:tmpl w:val="65A27CA4"/>
    <w:lvl w:ilvl="0">
      <w:start w:val="1"/>
      <w:numFmt w:val="decimal"/>
      <w:pStyle w:val="ListParagraph1"/>
      <w:lvlText w:val="%1."/>
      <w:lvlJc w:val="left"/>
      <w:pPr>
        <w:ind w:left="360" w:hanging="360"/>
      </w:pPr>
    </w:lvl>
    <w:lvl w:ilvl="1">
      <w:start w:val="1"/>
      <w:numFmt w:val="decimal"/>
      <w:pStyle w:val="ListparagraphLevel1"/>
      <w:lvlText w:val="%1.%2."/>
      <w:lvlJc w:val="left"/>
      <w:pPr>
        <w:ind w:left="792" w:hanging="432"/>
      </w:pPr>
    </w:lvl>
    <w:lvl w:ilvl="2">
      <w:start w:val="1"/>
      <w:numFmt w:val="decimal"/>
      <w:pStyle w:val="ListparagraphLevel2"/>
      <w:lvlText w:val="%1.%2.%3."/>
      <w:lvlJc w:val="left"/>
      <w:pPr>
        <w:ind w:left="1224" w:hanging="504"/>
      </w:pPr>
    </w:lvl>
    <w:lvl w:ilvl="3">
      <w:start w:val="1"/>
      <w:numFmt w:val="decimal"/>
      <w:pStyle w:val="ListparagraphLevel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1D721E"/>
    <w:multiLevelType w:val="multilevel"/>
    <w:tmpl w:val="8A72BD6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BRIFNumberedParaLevel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pStyle w:val="BRIFNumberedParaLevel4"/>
      <w:lvlText w:val="%1.%2.%3.%4"/>
      <w:lvlJc w:val="left"/>
      <w:pPr>
        <w:ind w:left="1701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BEF65BE"/>
    <w:multiLevelType w:val="multilevel"/>
    <w:tmpl w:val="E51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2A0836"/>
    <w:multiLevelType w:val="multilevel"/>
    <w:tmpl w:val="C50299B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0D7E6B"/>
    <w:multiLevelType w:val="hybridMultilevel"/>
    <w:tmpl w:val="51EAF70A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8251AB0"/>
    <w:multiLevelType w:val="multilevel"/>
    <w:tmpl w:val="16AE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7F5102"/>
    <w:multiLevelType w:val="multilevel"/>
    <w:tmpl w:val="1126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637579">
    <w:abstractNumId w:val="0"/>
  </w:num>
  <w:num w:numId="2" w16cid:durableId="564603187">
    <w:abstractNumId w:val="3"/>
  </w:num>
  <w:num w:numId="3" w16cid:durableId="2078627360">
    <w:abstractNumId w:val="3"/>
  </w:num>
  <w:num w:numId="4" w16cid:durableId="540941775">
    <w:abstractNumId w:val="1"/>
  </w:num>
  <w:num w:numId="5" w16cid:durableId="2005472762">
    <w:abstractNumId w:val="3"/>
  </w:num>
  <w:num w:numId="6" w16cid:durableId="462819269">
    <w:abstractNumId w:val="5"/>
  </w:num>
  <w:num w:numId="7" w16cid:durableId="703411175">
    <w:abstractNumId w:val="6"/>
  </w:num>
  <w:num w:numId="8" w16cid:durableId="1873420245">
    <w:abstractNumId w:val="4"/>
  </w:num>
  <w:num w:numId="9" w16cid:durableId="474955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F1"/>
    <w:rsid w:val="000061A0"/>
    <w:rsid w:val="00010AE1"/>
    <w:rsid w:val="000257EA"/>
    <w:rsid w:val="00032073"/>
    <w:rsid w:val="00073D65"/>
    <w:rsid w:val="00076536"/>
    <w:rsid w:val="000A27D2"/>
    <w:rsid w:val="000A7FB1"/>
    <w:rsid w:val="000B734D"/>
    <w:rsid w:val="000D0195"/>
    <w:rsid w:val="000D0A9A"/>
    <w:rsid w:val="000D3A77"/>
    <w:rsid w:val="000D6348"/>
    <w:rsid w:val="000D7193"/>
    <w:rsid w:val="000E73A3"/>
    <w:rsid w:val="000F0FA6"/>
    <w:rsid w:val="000F6AC8"/>
    <w:rsid w:val="001008E9"/>
    <w:rsid w:val="00115DCC"/>
    <w:rsid w:val="00146F3A"/>
    <w:rsid w:val="00161893"/>
    <w:rsid w:val="001658DD"/>
    <w:rsid w:val="00180566"/>
    <w:rsid w:val="00180932"/>
    <w:rsid w:val="00181208"/>
    <w:rsid w:val="00191886"/>
    <w:rsid w:val="00192863"/>
    <w:rsid w:val="001952DF"/>
    <w:rsid w:val="00197B4C"/>
    <w:rsid w:val="001B2561"/>
    <w:rsid w:val="001B4343"/>
    <w:rsid w:val="001B5893"/>
    <w:rsid w:val="001C10BB"/>
    <w:rsid w:val="001D65C0"/>
    <w:rsid w:val="001E2512"/>
    <w:rsid w:val="001F0C32"/>
    <w:rsid w:val="0020304C"/>
    <w:rsid w:val="00222683"/>
    <w:rsid w:val="002430E5"/>
    <w:rsid w:val="0025164D"/>
    <w:rsid w:val="0025225D"/>
    <w:rsid w:val="00253C45"/>
    <w:rsid w:val="00267E4D"/>
    <w:rsid w:val="002A0503"/>
    <w:rsid w:val="002A1581"/>
    <w:rsid w:val="002A2638"/>
    <w:rsid w:val="002B1776"/>
    <w:rsid w:val="002B3A20"/>
    <w:rsid w:val="002C69FC"/>
    <w:rsid w:val="002C71D8"/>
    <w:rsid w:val="002D0884"/>
    <w:rsid w:val="002D51F6"/>
    <w:rsid w:val="002E0685"/>
    <w:rsid w:val="002E071E"/>
    <w:rsid w:val="002F700A"/>
    <w:rsid w:val="003118A0"/>
    <w:rsid w:val="00312272"/>
    <w:rsid w:val="00315EE7"/>
    <w:rsid w:val="003219E8"/>
    <w:rsid w:val="0033631F"/>
    <w:rsid w:val="00354C7A"/>
    <w:rsid w:val="003606DB"/>
    <w:rsid w:val="003637B4"/>
    <w:rsid w:val="0036465D"/>
    <w:rsid w:val="00366A59"/>
    <w:rsid w:val="00366C24"/>
    <w:rsid w:val="00373BAE"/>
    <w:rsid w:val="00391DDF"/>
    <w:rsid w:val="003A4206"/>
    <w:rsid w:val="003A66C9"/>
    <w:rsid w:val="003B3FF1"/>
    <w:rsid w:val="003B5767"/>
    <w:rsid w:val="003D3AAF"/>
    <w:rsid w:val="003D69A8"/>
    <w:rsid w:val="00405638"/>
    <w:rsid w:val="00406F09"/>
    <w:rsid w:val="00452995"/>
    <w:rsid w:val="00453DA8"/>
    <w:rsid w:val="004645F1"/>
    <w:rsid w:val="004704AB"/>
    <w:rsid w:val="00472B1C"/>
    <w:rsid w:val="00484F9B"/>
    <w:rsid w:val="0049685C"/>
    <w:rsid w:val="004B5899"/>
    <w:rsid w:val="004C0F20"/>
    <w:rsid w:val="004C6D15"/>
    <w:rsid w:val="004D3494"/>
    <w:rsid w:val="004E2AE7"/>
    <w:rsid w:val="004E57F0"/>
    <w:rsid w:val="004E6018"/>
    <w:rsid w:val="004E7ED4"/>
    <w:rsid w:val="004F1B66"/>
    <w:rsid w:val="00516A14"/>
    <w:rsid w:val="00521EC0"/>
    <w:rsid w:val="00531362"/>
    <w:rsid w:val="00544044"/>
    <w:rsid w:val="005720E9"/>
    <w:rsid w:val="00580520"/>
    <w:rsid w:val="00587D4F"/>
    <w:rsid w:val="00597CCE"/>
    <w:rsid w:val="005B77F2"/>
    <w:rsid w:val="005D313E"/>
    <w:rsid w:val="00604642"/>
    <w:rsid w:val="00613EAB"/>
    <w:rsid w:val="00613F62"/>
    <w:rsid w:val="00622DC1"/>
    <w:rsid w:val="00624D33"/>
    <w:rsid w:val="00626BF0"/>
    <w:rsid w:val="0063153E"/>
    <w:rsid w:val="00636FBD"/>
    <w:rsid w:val="00640F8D"/>
    <w:rsid w:val="00643C2F"/>
    <w:rsid w:val="0065638D"/>
    <w:rsid w:val="00681107"/>
    <w:rsid w:val="00693838"/>
    <w:rsid w:val="006A4B01"/>
    <w:rsid w:val="006A4E51"/>
    <w:rsid w:val="006A5DBE"/>
    <w:rsid w:val="006C63C0"/>
    <w:rsid w:val="006D0C99"/>
    <w:rsid w:val="006D7F3B"/>
    <w:rsid w:val="006E4E29"/>
    <w:rsid w:val="006E54DC"/>
    <w:rsid w:val="006F066E"/>
    <w:rsid w:val="006F258F"/>
    <w:rsid w:val="006F7CDE"/>
    <w:rsid w:val="0070188D"/>
    <w:rsid w:val="0070549D"/>
    <w:rsid w:val="00721E2F"/>
    <w:rsid w:val="00726FCB"/>
    <w:rsid w:val="007315BB"/>
    <w:rsid w:val="007632A2"/>
    <w:rsid w:val="00765A72"/>
    <w:rsid w:val="00771C31"/>
    <w:rsid w:val="007722DA"/>
    <w:rsid w:val="00791C91"/>
    <w:rsid w:val="007935A3"/>
    <w:rsid w:val="00793FF7"/>
    <w:rsid w:val="007A2F0C"/>
    <w:rsid w:val="007A6CC5"/>
    <w:rsid w:val="007B3C15"/>
    <w:rsid w:val="007B50C4"/>
    <w:rsid w:val="007D27FB"/>
    <w:rsid w:val="007F0069"/>
    <w:rsid w:val="007F792F"/>
    <w:rsid w:val="0080260A"/>
    <w:rsid w:val="00804662"/>
    <w:rsid w:val="0080722F"/>
    <w:rsid w:val="008112F6"/>
    <w:rsid w:val="00813792"/>
    <w:rsid w:val="008165F0"/>
    <w:rsid w:val="00822F3B"/>
    <w:rsid w:val="008268EF"/>
    <w:rsid w:val="00826ED6"/>
    <w:rsid w:val="00826F68"/>
    <w:rsid w:val="00833169"/>
    <w:rsid w:val="00841251"/>
    <w:rsid w:val="008426BA"/>
    <w:rsid w:val="00856FC2"/>
    <w:rsid w:val="00862DDF"/>
    <w:rsid w:val="00866589"/>
    <w:rsid w:val="008773A6"/>
    <w:rsid w:val="0088387F"/>
    <w:rsid w:val="00885A6D"/>
    <w:rsid w:val="0088744B"/>
    <w:rsid w:val="0089618B"/>
    <w:rsid w:val="008A405D"/>
    <w:rsid w:val="008B4199"/>
    <w:rsid w:val="008B5F5D"/>
    <w:rsid w:val="008C1BDC"/>
    <w:rsid w:val="008E07BF"/>
    <w:rsid w:val="008F4349"/>
    <w:rsid w:val="008F7532"/>
    <w:rsid w:val="00926FCE"/>
    <w:rsid w:val="00954EA4"/>
    <w:rsid w:val="00955374"/>
    <w:rsid w:val="00971AD8"/>
    <w:rsid w:val="009779CC"/>
    <w:rsid w:val="00980943"/>
    <w:rsid w:val="009813F0"/>
    <w:rsid w:val="00987297"/>
    <w:rsid w:val="009A6674"/>
    <w:rsid w:val="009B6D17"/>
    <w:rsid w:val="009C4A33"/>
    <w:rsid w:val="009D1678"/>
    <w:rsid w:val="009D2507"/>
    <w:rsid w:val="009D4202"/>
    <w:rsid w:val="009E0971"/>
    <w:rsid w:val="009E0F5D"/>
    <w:rsid w:val="00A0032F"/>
    <w:rsid w:val="00A00816"/>
    <w:rsid w:val="00A10655"/>
    <w:rsid w:val="00A1365D"/>
    <w:rsid w:val="00A16AA9"/>
    <w:rsid w:val="00A240B5"/>
    <w:rsid w:val="00A3360C"/>
    <w:rsid w:val="00A36A12"/>
    <w:rsid w:val="00A431E4"/>
    <w:rsid w:val="00A432A6"/>
    <w:rsid w:val="00A46E4B"/>
    <w:rsid w:val="00A559CE"/>
    <w:rsid w:val="00A61E10"/>
    <w:rsid w:val="00A66991"/>
    <w:rsid w:val="00A7264D"/>
    <w:rsid w:val="00A73445"/>
    <w:rsid w:val="00A7619A"/>
    <w:rsid w:val="00A82B24"/>
    <w:rsid w:val="00A911E1"/>
    <w:rsid w:val="00AA2AEA"/>
    <w:rsid w:val="00AB027B"/>
    <w:rsid w:val="00AC541A"/>
    <w:rsid w:val="00AC7CC7"/>
    <w:rsid w:val="00B01A5F"/>
    <w:rsid w:val="00B0392C"/>
    <w:rsid w:val="00B264D0"/>
    <w:rsid w:val="00B30DD2"/>
    <w:rsid w:val="00B361DD"/>
    <w:rsid w:val="00B41CCA"/>
    <w:rsid w:val="00B45524"/>
    <w:rsid w:val="00B46DFE"/>
    <w:rsid w:val="00B56125"/>
    <w:rsid w:val="00B562EB"/>
    <w:rsid w:val="00B5687E"/>
    <w:rsid w:val="00B64AC2"/>
    <w:rsid w:val="00B9497F"/>
    <w:rsid w:val="00BA341A"/>
    <w:rsid w:val="00BA621E"/>
    <w:rsid w:val="00BD7B0F"/>
    <w:rsid w:val="00BF2800"/>
    <w:rsid w:val="00BF2ABE"/>
    <w:rsid w:val="00BF5B9F"/>
    <w:rsid w:val="00C03550"/>
    <w:rsid w:val="00C16B65"/>
    <w:rsid w:val="00C1791B"/>
    <w:rsid w:val="00C341C4"/>
    <w:rsid w:val="00C43E9F"/>
    <w:rsid w:val="00C51274"/>
    <w:rsid w:val="00C564EF"/>
    <w:rsid w:val="00C56571"/>
    <w:rsid w:val="00C647CE"/>
    <w:rsid w:val="00C668D9"/>
    <w:rsid w:val="00C67BF7"/>
    <w:rsid w:val="00C83597"/>
    <w:rsid w:val="00C8436A"/>
    <w:rsid w:val="00CB1627"/>
    <w:rsid w:val="00CB3D03"/>
    <w:rsid w:val="00CC28CA"/>
    <w:rsid w:val="00CC4D1B"/>
    <w:rsid w:val="00CC76DA"/>
    <w:rsid w:val="00CE1771"/>
    <w:rsid w:val="00CE739F"/>
    <w:rsid w:val="00CF27B7"/>
    <w:rsid w:val="00D10AF2"/>
    <w:rsid w:val="00D117FD"/>
    <w:rsid w:val="00D32734"/>
    <w:rsid w:val="00D527DC"/>
    <w:rsid w:val="00D52FDC"/>
    <w:rsid w:val="00D63956"/>
    <w:rsid w:val="00D65A17"/>
    <w:rsid w:val="00D711CF"/>
    <w:rsid w:val="00D71C99"/>
    <w:rsid w:val="00D77BDC"/>
    <w:rsid w:val="00D85938"/>
    <w:rsid w:val="00DD1E71"/>
    <w:rsid w:val="00DD7301"/>
    <w:rsid w:val="00DE174B"/>
    <w:rsid w:val="00E001DF"/>
    <w:rsid w:val="00E01C32"/>
    <w:rsid w:val="00E03567"/>
    <w:rsid w:val="00E05AB9"/>
    <w:rsid w:val="00E05DF3"/>
    <w:rsid w:val="00E0755A"/>
    <w:rsid w:val="00E138DB"/>
    <w:rsid w:val="00E1550D"/>
    <w:rsid w:val="00E2619C"/>
    <w:rsid w:val="00E305E7"/>
    <w:rsid w:val="00E40D9F"/>
    <w:rsid w:val="00E56BC5"/>
    <w:rsid w:val="00E61697"/>
    <w:rsid w:val="00E63A45"/>
    <w:rsid w:val="00E63F3D"/>
    <w:rsid w:val="00E75D45"/>
    <w:rsid w:val="00E84DF7"/>
    <w:rsid w:val="00E9504B"/>
    <w:rsid w:val="00EA2A19"/>
    <w:rsid w:val="00EA3551"/>
    <w:rsid w:val="00EA6C31"/>
    <w:rsid w:val="00EB14D4"/>
    <w:rsid w:val="00EB515E"/>
    <w:rsid w:val="00EB611E"/>
    <w:rsid w:val="00EC30AA"/>
    <w:rsid w:val="00EE49A3"/>
    <w:rsid w:val="00EE628F"/>
    <w:rsid w:val="00EE6366"/>
    <w:rsid w:val="00EF18E6"/>
    <w:rsid w:val="00F04641"/>
    <w:rsid w:val="00F0501E"/>
    <w:rsid w:val="00F06DFC"/>
    <w:rsid w:val="00F10B78"/>
    <w:rsid w:val="00F124BC"/>
    <w:rsid w:val="00F16CAE"/>
    <w:rsid w:val="00F32B2D"/>
    <w:rsid w:val="00F8125F"/>
    <w:rsid w:val="00F824BF"/>
    <w:rsid w:val="00F910CC"/>
    <w:rsid w:val="00FA2379"/>
    <w:rsid w:val="00FB0207"/>
    <w:rsid w:val="00FC224A"/>
    <w:rsid w:val="00FC76BC"/>
    <w:rsid w:val="00FC7C6C"/>
    <w:rsid w:val="00FD2CC2"/>
    <w:rsid w:val="00FD4ABE"/>
    <w:rsid w:val="00FE32CC"/>
    <w:rsid w:val="00FE683E"/>
    <w:rsid w:val="00FE7ECD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499E2"/>
  <w15:chartTrackingRefBased/>
  <w15:docId w15:val="{DCEB1A3D-94FD-4368-915A-89B2F464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before="240" w:after="120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567"/>
    <w:pPr>
      <w:spacing w:before="0" w:after="240"/>
      <w:ind w:left="0" w:firstLine="0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D711CF"/>
    <w:pPr>
      <w:keepNext/>
      <w:numPr>
        <w:numId w:val="2"/>
      </w:numPr>
      <w:spacing w:line="276" w:lineRule="auto"/>
      <w:ind w:left="567" w:hanging="567"/>
      <w:contextualSpacing w:val="0"/>
      <w:outlineLvl w:val="0"/>
    </w:pPr>
    <w:rPr>
      <w:b/>
      <w:bCs/>
      <w:cap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773A6"/>
    <w:pPr>
      <w:numPr>
        <w:ilvl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9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5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5F1"/>
  </w:style>
  <w:style w:type="paragraph" w:styleId="Footer">
    <w:name w:val="footer"/>
    <w:basedOn w:val="Normal"/>
    <w:link w:val="FooterChar"/>
    <w:uiPriority w:val="99"/>
    <w:unhideWhenUsed/>
    <w:rsid w:val="00A66991"/>
    <w:pPr>
      <w:tabs>
        <w:tab w:val="center" w:pos="4513"/>
        <w:tab w:val="right" w:pos="9026"/>
      </w:tabs>
      <w:spacing w:after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6991"/>
    <w:rPr>
      <w:sz w:val="20"/>
      <w:szCs w:val="20"/>
    </w:rPr>
  </w:style>
  <w:style w:type="character" w:customStyle="1" w:styleId="A0">
    <w:name w:val="A0"/>
    <w:uiPriority w:val="99"/>
    <w:rsid w:val="00A00816"/>
    <w:rPr>
      <w:b/>
      <w:bCs/>
      <w:i/>
      <w:iCs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0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816"/>
    <w:rPr>
      <w:color w:val="605E5C"/>
      <w:shd w:val="clear" w:color="auto" w:fill="E1DFDD"/>
    </w:rPr>
  </w:style>
  <w:style w:type="paragraph" w:customStyle="1" w:styleId="Reportheading">
    <w:name w:val="Report heading"/>
    <w:basedOn w:val="Normal"/>
    <w:rsid w:val="00484F9B"/>
    <w:pPr>
      <w:spacing w:before="960"/>
    </w:pPr>
    <w:rPr>
      <w:b/>
      <w:sz w:val="52"/>
      <w:szCs w:val="52"/>
    </w:rPr>
  </w:style>
  <w:style w:type="paragraph" w:styleId="NoSpacing">
    <w:name w:val="No Spacing"/>
    <w:uiPriority w:val="1"/>
    <w:qFormat/>
    <w:rsid w:val="001D65C0"/>
    <w:pPr>
      <w:spacing w:before="0" w:after="0"/>
      <w:ind w:left="0" w:firstLine="0"/>
    </w:pPr>
  </w:style>
  <w:style w:type="paragraph" w:customStyle="1" w:styleId="NospacingFont10">
    <w:name w:val="No spacing Font 10"/>
    <w:basedOn w:val="NoSpacing"/>
    <w:qFormat/>
    <w:rsid w:val="00613F62"/>
    <w:pPr>
      <w:tabs>
        <w:tab w:val="left" w:pos="5670"/>
      </w:tabs>
    </w:pPr>
    <w:rPr>
      <w:sz w:val="20"/>
      <w:szCs w:val="20"/>
    </w:rPr>
  </w:style>
  <w:style w:type="paragraph" w:customStyle="1" w:styleId="Normalbold">
    <w:name w:val="Normal bold"/>
    <w:basedOn w:val="Normal"/>
    <w:qFormat/>
    <w:rsid w:val="00CF27B7"/>
    <w:rPr>
      <w:b/>
      <w:bCs/>
    </w:rPr>
  </w:style>
  <w:style w:type="paragraph" w:styleId="ListParagraph">
    <w:name w:val="List Paragraph"/>
    <w:aliases w:val="Sub-section heading"/>
    <w:basedOn w:val="Normal"/>
    <w:uiPriority w:val="34"/>
    <w:qFormat/>
    <w:rsid w:val="00A7619A"/>
    <w:pPr>
      <w:ind w:left="720"/>
      <w:contextualSpacing/>
    </w:pPr>
  </w:style>
  <w:style w:type="paragraph" w:customStyle="1" w:styleId="Listpara-sectionheading">
    <w:name w:val="List para - section heading"/>
    <w:basedOn w:val="ListParagraph"/>
    <w:rsid w:val="004F1B66"/>
    <w:pPr>
      <w:spacing w:before="240" w:line="276" w:lineRule="auto"/>
      <w:ind w:left="567" w:hanging="567"/>
      <w:contextualSpacing w:val="0"/>
    </w:pPr>
    <w:rPr>
      <w:b/>
      <w:bCs/>
      <w:caps/>
    </w:rPr>
  </w:style>
  <w:style w:type="paragraph" w:customStyle="1" w:styleId="Listpara-sub-heading">
    <w:name w:val="List para - sub-heading"/>
    <w:basedOn w:val="ListParagraph"/>
    <w:qFormat/>
    <w:rsid w:val="00926FCE"/>
    <w:pPr>
      <w:spacing w:before="240" w:line="276" w:lineRule="auto"/>
      <w:ind w:left="567" w:hanging="567"/>
      <w:contextualSpacing w:val="0"/>
    </w:pPr>
    <w:rPr>
      <w:b/>
      <w:bCs/>
      <w:smallCaps/>
    </w:rPr>
  </w:style>
  <w:style w:type="paragraph" w:customStyle="1" w:styleId="Sub-heading">
    <w:name w:val="Sub-heading"/>
    <w:aliases w:val="no list para"/>
    <w:basedOn w:val="Normal"/>
    <w:qFormat/>
    <w:rsid w:val="00CE1771"/>
    <w:pPr>
      <w:keepNext/>
      <w:spacing w:before="240" w:line="276" w:lineRule="auto"/>
      <w:ind w:left="567"/>
    </w:pPr>
    <w:rPr>
      <w:b/>
      <w:bCs/>
      <w:i/>
    </w:rPr>
  </w:style>
  <w:style w:type="paragraph" w:customStyle="1" w:styleId="ListParagraph1">
    <w:name w:val="List Paragraph1"/>
    <w:basedOn w:val="ListParagraph"/>
    <w:qFormat/>
    <w:rsid w:val="00CE1771"/>
    <w:pPr>
      <w:keepLines/>
      <w:numPr>
        <w:numId w:val="1"/>
      </w:numPr>
      <w:spacing w:line="276" w:lineRule="auto"/>
      <w:ind w:left="567" w:hanging="567"/>
      <w:contextualSpacing w:val="0"/>
    </w:pPr>
  </w:style>
  <w:style w:type="paragraph" w:customStyle="1" w:styleId="ListparagraphLevel1">
    <w:name w:val="List paragraph Level 1"/>
    <w:basedOn w:val="ListParagraph"/>
    <w:qFormat/>
    <w:rsid w:val="00CE1771"/>
    <w:pPr>
      <w:keepLines/>
      <w:numPr>
        <w:ilvl w:val="1"/>
        <w:numId w:val="1"/>
      </w:numPr>
      <w:spacing w:line="276" w:lineRule="auto"/>
      <w:ind w:left="1134" w:hanging="567"/>
      <w:contextualSpacing w:val="0"/>
    </w:pPr>
  </w:style>
  <w:style w:type="paragraph" w:customStyle="1" w:styleId="ListparagraphLevel2">
    <w:name w:val="List paragraph Level 2"/>
    <w:basedOn w:val="ListParagraph"/>
    <w:qFormat/>
    <w:rsid w:val="00CE1771"/>
    <w:pPr>
      <w:keepLines/>
      <w:numPr>
        <w:ilvl w:val="2"/>
        <w:numId w:val="1"/>
      </w:numPr>
      <w:spacing w:line="276" w:lineRule="auto"/>
      <w:ind w:left="1843" w:hanging="709"/>
      <w:contextualSpacing w:val="0"/>
    </w:pPr>
  </w:style>
  <w:style w:type="paragraph" w:customStyle="1" w:styleId="ListparagraphLevel3">
    <w:name w:val="List paragraph Level 3"/>
    <w:basedOn w:val="ListParagraph"/>
    <w:qFormat/>
    <w:rsid w:val="00CE1771"/>
    <w:pPr>
      <w:keepLines/>
      <w:numPr>
        <w:ilvl w:val="3"/>
        <w:numId w:val="1"/>
      </w:numPr>
      <w:spacing w:line="276" w:lineRule="auto"/>
      <w:ind w:left="2835" w:hanging="992"/>
      <w:contextualSpacing w:val="0"/>
    </w:pPr>
  </w:style>
  <w:style w:type="character" w:customStyle="1" w:styleId="Heading1Char">
    <w:name w:val="Heading 1 Char"/>
    <w:basedOn w:val="DefaultParagraphFont"/>
    <w:link w:val="Heading1"/>
    <w:uiPriority w:val="9"/>
    <w:rsid w:val="00D711CF"/>
    <w:rPr>
      <w:b/>
      <w:bCs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8773A6"/>
    <w:rPr>
      <w:b/>
      <w:bCs/>
      <w:caps/>
    </w:rPr>
  </w:style>
  <w:style w:type="table" w:styleId="TableGrid">
    <w:name w:val="Table Grid"/>
    <w:basedOn w:val="TableNormal"/>
    <w:uiPriority w:val="39"/>
    <w:rsid w:val="00826F6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F6AC8"/>
    <w:pPr>
      <w:keepLines/>
      <w:numPr>
        <w:numId w:val="0"/>
      </w:numPr>
      <w:spacing w:before="120" w:after="120"/>
      <w:outlineLvl w:val="9"/>
    </w:pPr>
    <w:rPr>
      <w:rFonts w:asciiTheme="majorHAnsi" w:eastAsiaTheme="majorEastAsia" w:hAnsiTheme="majorHAnsi" w:cs="Calibri"/>
      <w:bCs w:val="0"/>
      <w:sz w:val="28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F6AC8"/>
    <w:pPr>
      <w:tabs>
        <w:tab w:val="left" w:pos="440"/>
        <w:tab w:val="right" w:leader="dot" w:pos="9016"/>
      </w:tabs>
      <w:spacing w:before="120" w:after="120" w:line="276" w:lineRule="auto"/>
    </w:pPr>
    <w:rPr>
      <w:noProof/>
    </w:rPr>
  </w:style>
  <w:style w:type="paragraph" w:customStyle="1" w:styleId="BRIFNumberedParaLevel3">
    <w:name w:val="BRIF Numbered Para Level 3"/>
    <w:basedOn w:val="Heading3"/>
    <w:next w:val="Normal"/>
    <w:autoRedefine/>
    <w:rsid w:val="00980943"/>
    <w:pPr>
      <w:keepNext w:val="0"/>
      <w:numPr>
        <w:ilvl w:val="2"/>
        <w:numId w:val="4"/>
      </w:numPr>
      <w:tabs>
        <w:tab w:val="num" w:pos="360"/>
      </w:tabs>
      <w:spacing w:before="0" w:after="200" w:line="276" w:lineRule="auto"/>
      <w:ind w:left="1985" w:firstLine="0"/>
    </w:pPr>
    <w:rPr>
      <w:rFonts w:asciiTheme="minorHAnsi" w:eastAsia="Calibri" w:hAnsiTheme="minorHAnsi" w:cs="Times New Roman"/>
      <w:color w:val="auto"/>
      <w:sz w:val="22"/>
      <w:szCs w:val="22"/>
      <w:lang w:eastAsia="en-US" w:bidi="ar-SA"/>
    </w:rPr>
  </w:style>
  <w:style w:type="paragraph" w:customStyle="1" w:styleId="BRIFNumberedParaLevel4">
    <w:name w:val="BRIF Numbered Para Level 4"/>
    <w:basedOn w:val="BRIFNumberedParaLevel3"/>
    <w:autoRedefine/>
    <w:rsid w:val="00980943"/>
    <w:pPr>
      <w:numPr>
        <w:ilvl w:val="3"/>
      </w:numPr>
      <w:tabs>
        <w:tab w:val="num" w:pos="360"/>
      </w:tabs>
      <w:ind w:left="1728" w:hanging="648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80943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customStyle="1" w:styleId="paragraph">
    <w:name w:val="paragraph"/>
    <w:basedOn w:val="Normal"/>
    <w:rsid w:val="00D71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71C99"/>
  </w:style>
  <w:style w:type="character" w:customStyle="1" w:styleId="eop">
    <w:name w:val="eop"/>
    <w:basedOn w:val="DefaultParagraphFont"/>
    <w:rsid w:val="00D71C99"/>
  </w:style>
  <w:style w:type="character" w:customStyle="1" w:styleId="spellingerror">
    <w:name w:val="spellingerror"/>
    <w:basedOn w:val="DefaultParagraphFont"/>
    <w:rsid w:val="0061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davis@procaregroup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17a73-311e-45d2-9b4a-fdc136bd7c28" xsi:nil="true"/>
    <lcf76f155ced4ddcb4097134ff3c332f xmlns="76dcdace-a416-4e22-90e3-9c20a15c71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88C1B5A6CE84EA51B4DE22A0862E6" ma:contentTypeVersion="19" ma:contentTypeDescription="Create a new document." ma:contentTypeScope="" ma:versionID="7b02856c445590f6bfba3c1b3324133e">
  <xsd:schema xmlns:xsd="http://www.w3.org/2001/XMLSchema" xmlns:xs="http://www.w3.org/2001/XMLSchema" xmlns:p="http://schemas.microsoft.com/office/2006/metadata/properties" xmlns:ns2="76dcdace-a416-4e22-90e3-9c20a15c712b" xmlns:ns3="a5417a73-311e-45d2-9b4a-fdc136bd7c28" targetNamespace="http://schemas.microsoft.com/office/2006/metadata/properties" ma:root="true" ma:fieldsID="7ea336b93b3cfd83d0139274f2dc97a4" ns2:_="" ns3:_="">
    <xsd:import namespace="76dcdace-a416-4e22-90e3-9c20a15c712b"/>
    <xsd:import namespace="a5417a73-311e-45d2-9b4a-fdc136bd7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cdace-a416-4e22-90e3-9c20a15c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df6895c-76c7-4c3a-8433-916b1691c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17a73-311e-45d2-9b4a-fdc136bd7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208aea-7656-4228-aa92-65b355925ccf}" ma:internalName="TaxCatchAll" ma:showField="CatchAllData" ma:web="a5417a73-311e-45d2-9b4a-fdc136bd7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637E-A9E7-4D56-A8B0-8220F174AC88}">
  <ds:schemaRefs>
    <ds:schemaRef ds:uri="http://schemas.microsoft.com/office/2006/metadata/properties"/>
    <ds:schemaRef ds:uri="http://schemas.microsoft.com/office/infopath/2007/PartnerControls"/>
    <ds:schemaRef ds:uri="a5417a73-311e-45d2-9b4a-fdc136bd7c28"/>
    <ds:schemaRef ds:uri="76dcdace-a416-4e22-90e3-9c20a15c712b"/>
  </ds:schemaRefs>
</ds:datastoreItem>
</file>

<file path=customXml/itemProps2.xml><?xml version="1.0" encoding="utf-8"?>
<ds:datastoreItem xmlns:ds="http://schemas.openxmlformats.org/officeDocument/2006/customXml" ds:itemID="{033C9249-D5C7-45D7-BCEB-56439F5E1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85026-2C06-4563-8E43-A25323537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cdace-a416-4e22-90e3-9c20a15c712b"/>
    <ds:schemaRef ds:uri="a5417a73-311e-45d2-9b4a-fdc136bd7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76409F-C1DF-4162-BC6A-237D464B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Croft</dc:creator>
  <cp:keywords/>
  <dc:description/>
  <cp:lastModifiedBy>Paul Croft</cp:lastModifiedBy>
  <cp:revision>91</cp:revision>
  <dcterms:created xsi:type="dcterms:W3CDTF">2022-08-03T04:53:00Z</dcterms:created>
  <dcterms:modified xsi:type="dcterms:W3CDTF">2023-12-13T02:16:00Z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0x010100F8588C1B5A6CE84EA51B4DE22A0862E6</vt:lpwstr>
  </property>
  <property fmtid="{D5CDD505-2E9C-101B-9397-08002B2CF9AE}" pid="3" name="MediaServiceImageTags">
    <vt:lpwstr/>
  </property>
</Properties>
</file>